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25" w:rsidRDefault="001E1625" w:rsidP="001E16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</w:t>
      </w:r>
      <w:r>
        <w:rPr>
          <w:rFonts w:ascii="Arial" w:hAnsi="Arial" w:cs="Arial"/>
          <w:color w:val="333333"/>
          <w:sz w:val="21"/>
          <w:szCs w:val="21"/>
        </w:rPr>
        <w:t>e revenu déterminant au sens de l’</w:t>
      </w:r>
      <w:hyperlink r:id="rId4" w:tgtFrame="_blank" w:tooltip="article 14 LALAMal" w:history="1">
        <w:r>
          <w:rPr>
            <w:rStyle w:val="Lienhypertexte"/>
            <w:rFonts w:ascii="Arial" w:hAnsi="Arial" w:cs="Arial"/>
            <w:color w:val="326F9E"/>
            <w:sz w:val="21"/>
            <w:szCs w:val="21"/>
          </w:rPr>
          <w:t xml:space="preserve">article 14 </w:t>
        </w:r>
        <w:proofErr w:type="spellStart"/>
        <w:r>
          <w:rPr>
            <w:rStyle w:val="Lienhypertexte"/>
            <w:rFonts w:ascii="Arial" w:hAnsi="Arial" w:cs="Arial"/>
            <w:color w:val="326F9E"/>
            <w:sz w:val="21"/>
            <w:szCs w:val="21"/>
          </w:rPr>
          <w:t>LALAMal</w:t>
        </w:r>
        <w:proofErr w:type="spellEnd"/>
      </w:hyperlink>
      <w:r>
        <w:rPr>
          <w:rFonts w:ascii="Arial" w:hAnsi="Arial" w:cs="Arial"/>
          <w:color w:val="333333"/>
          <w:sz w:val="21"/>
          <w:szCs w:val="21"/>
        </w:rPr>
        <w:t> est donné par le revenu annuel net de l’avis de taxation fiscale du canton de Fribourg (code 4.910) </w:t>
      </w:r>
      <w:r>
        <w:rPr>
          <w:rStyle w:val="lev"/>
          <w:rFonts w:ascii="Arial" w:hAnsi="Arial" w:cs="Arial"/>
          <w:color w:val="333333"/>
          <w:sz w:val="21"/>
          <w:szCs w:val="21"/>
        </w:rPr>
        <w:t>de la période fiscale qui précède de deux ans l’année pour laquelle le droit à la réduction des primes est examiné (année x – 2 ans)</w:t>
      </w:r>
      <w:r>
        <w:rPr>
          <w:rFonts w:ascii="Arial" w:hAnsi="Arial" w:cs="Arial"/>
          <w:color w:val="333333"/>
          <w:sz w:val="21"/>
          <w:szCs w:val="21"/>
        </w:rPr>
        <w:t>, auquel sont ajoutés :</w:t>
      </w:r>
      <w:bookmarkStart w:id="0" w:name="_GoBack"/>
      <w:bookmarkEnd w:id="0"/>
    </w:p>
    <w:p w:rsidR="001E1625" w:rsidRDefault="001E1625" w:rsidP="001E16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a) pour le contribuable salarié ou rentier :</w:t>
      </w:r>
      <w:r>
        <w:rPr>
          <w:rFonts w:ascii="Arial" w:hAnsi="Arial" w:cs="Arial"/>
          <w:color w:val="333333"/>
          <w:sz w:val="21"/>
          <w:szCs w:val="21"/>
        </w:rPr>
        <w:br/>
        <w:t>    - les primes et cotisations d’assurance (codes 4.110 à 4.140)</w:t>
      </w:r>
      <w:r>
        <w:rPr>
          <w:rFonts w:ascii="Arial" w:hAnsi="Arial" w:cs="Arial"/>
          <w:color w:val="333333"/>
          <w:sz w:val="21"/>
          <w:szCs w:val="21"/>
        </w:rPr>
        <w:br/>
        <w:t>    - les intérêts passifs privés pour la part qui excède CHF 30'000.00 (code 4.210)</w:t>
      </w:r>
      <w:r>
        <w:rPr>
          <w:rFonts w:ascii="Arial" w:hAnsi="Arial" w:cs="Arial"/>
          <w:color w:val="333333"/>
          <w:sz w:val="21"/>
          <w:szCs w:val="21"/>
        </w:rPr>
        <w:br/>
        <w:t>    - les frais d’entretien d’immeubles privés pour la part qui excède CHF 15'000.00 (code 4.310)</w:t>
      </w:r>
      <w:r>
        <w:rPr>
          <w:rFonts w:ascii="Arial" w:hAnsi="Arial" w:cs="Arial"/>
          <w:color w:val="333333"/>
          <w:sz w:val="21"/>
          <w:szCs w:val="21"/>
        </w:rPr>
        <w:br/>
        <w:t>    - le vingtième (5%) de la fortune imposable (code 7.910)</w:t>
      </w:r>
    </w:p>
    <w:p w:rsidR="001E1625" w:rsidRDefault="001E1625" w:rsidP="001E162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b) pour le contribuable indépendant :</w:t>
      </w:r>
      <w:r>
        <w:rPr>
          <w:rFonts w:ascii="Arial" w:hAnsi="Arial" w:cs="Arial"/>
          <w:color w:val="333333"/>
          <w:sz w:val="21"/>
          <w:szCs w:val="21"/>
        </w:rPr>
        <w:br/>
        <w:t>    - les primes caisse-maladie et accidents (code 4.110)</w:t>
      </w:r>
      <w:r>
        <w:rPr>
          <w:rFonts w:ascii="Arial" w:hAnsi="Arial" w:cs="Arial"/>
          <w:color w:val="333333"/>
          <w:sz w:val="21"/>
          <w:szCs w:val="21"/>
        </w:rPr>
        <w:br/>
        <w:t>    - les autres primes et cotisations (code 4.120)</w:t>
      </w:r>
      <w:r>
        <w:rPr>
          <w:rFonts w:ascii="Arial" w:hAnsi="Arial" w:cs="Arial"/>
          <w:color w:val="333333"/>
          <w:sz w:val="21"/>
          <w:szCs w:val="21"/>
        </w:rPr>
        <w:br/>
        <w:t>    - le rachat d’années d’assurance (2ème pilier, caisse de pension) pour la part qui excède CHF 15'000.00 (code 4.140)</w:t>
      </w:r>
      <w:r>
        <w:rPr>
          <w:rFonts w:ascii="Arial" w:hAnsi="Arial" w:cs="Arial"/>
          <w:color w:val="333333"/>
          <w:sz w:val="21"/>
          <w:szCs w:val="21"/>
        </w:rPr>
        <w:br/>
        <w:t>    - les intérêts passifs privés pour la part qui excède CHF 30'000.00 (code 4.210)</w:t>
      </w:r>
      <w:r>
        <w:rPr>
          <w:rFonts w:ascii="Arial" w:hAnsi="Arial" w:cs="Arial"/>
          <w:color w:val="333333"/>
          <w:sz w:val="21"/>
          <w:szCs w:val="21"/>
        </w:rPr>
        <w:br/>
        <w:t>    - les frais d’entretien d’immeubles privés pour la part qui excède CHF 15'000.00 (code 4.310)</w:t>
      </w:r>
      <w:r>
        <w:rPr>
          <w:rFonts w:ascii="Arial" w:hAnsi="Arial" w:cs="Arial"/>
          <w:color w:val="333333"/>
          <w:sz w:val="21"/>
          <w:szCs w:val="21"/>
        </w:rPr>
        <w:br/>
        <w:t>    - le vingtième (5%) de la fortune imposable (code 7.910)</w:t>
      </w:r>
    </w:p>
    <w:p w:rsidR="00DD347B" w:rsidRDefault="00DD347B"/>
    <w:sectPr w:rsidR="00DD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25"/>
    <w:rsid w:val="001E1625"/>
    <w:rsid w:val="00313D1C"/>
    <w:rsid w:val="00333B00"/>
    <w:rsid w:val="00806B22"/>
    <w:rsid w:val="00C34CAD"/>
    <w:rsid w:val="00C51811"/>
    <w:rsid w:val="00C77C1B"/>
    <w:rsid w:val="00CA6DB4"/>
    <w:rsid w:val="00CD7919"/>
    <w:rsid w:val="00DC11BA"/>
    <w:rsid w:val="00DD347B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7317A"/>
  <w15:chartTrackingRefBased/>
  <w15:docId w15:val="{95284240-8D59-406B-90BC-2A2B5DCE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1E162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E162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dlf.fr.ch/app/fr/texts_of_law/842.1.1/versions/5588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4ADACBB2E0E43BE6AC5D5CF458654" ma:contentTypeVersion="13" ma:contentTypeDescription="Crée un document." ma:contentTypeScope="" ma:versionID="49f15166e7f1e7accad373c5d1b60e80">
  <xsd:schema xmlns:xsd="http://www.w3.org/2001/XMLSchema" xmlns:xs="http://www.w3.org/2001/XMLSchema" xmlns:p="http://schemas.microsoft.com/office/2006/metadata/properties" xmlns:ns2="4ea586e7-18da-42d9-b9c3-192e59d96260" xmlns:ns3="16e52044-6fb8-451b-9316-0ef6e95f4034" targetNamespace="http://schemas.microsoft.com/office/2006/metadata/properties" ma:root="true" ma:fieldsID="ee98284eb0cc718f55a21640b1829cef" ns2:_="" ns3:_="">
    <xsd:import namespace="4ea586e7-18da-42d9-b9c3-192e59d96260"/>
    <xsd:import namespace="16e52044-6fb8-451b-9316-0ef6e95f403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86e7-18da-42d9-b9c3-192e59d962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576221e2-7a78-484f-9b9c-379a801e1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52044-6fb8-451b-9316-0ef6e95f403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c40da3d-c2ca-419e-bc40-7e77c61f1fb7}" ma:internalName="TaxCatchAll" ma:showField="CatchAllData" ma:web="16e52044-6fb8-451b-9316-0ef6e95f4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52044-6fb8-451b-9316-0ef6e95f4034" xsi:nil="true"/>
    <lcf76f155ced4ddcb4097134ff3c332f xmlns="4ea586e7-18da-42d9-b9c3-192e59d96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17E5B1-57B3-4D9E-A876-5778404FD3DC}"/>
</file>

<file path=customXml/itemProps2.xml><?xml version="1.0" encoding="utf-8"?>
<ds:datastoreItem xmlns:ds="http://schemas.openxmlformats.org/officeDocument/2006/customXml" ds:itemID="{55261E86-1869-422A-8A7B-D31D22173CC5}"/>
</file>

<file path=customXml/itemProps3.xml><?xml version="1.0" encoding="utf-8"?>
<ds:datastoreItem xmlns:ds="http://schemas.openxmlformats.org/officeDocument/2006/customXml" ds:itemID="{08E35F0B-266B-475A-B12C-EAE0348C23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Mesot</dc:creator>
  <cp:keywords/>
  <dc:description/>
  <cp:lastModifiedBy>Catherine Mesot</cp:lastModifiedBy>
  <cp:revision>1</cp:revision>
  <cp:lastPrinted>2020-11-12T15:33:00Z</cp:lastPrinted>
  <dcterms:created xsi:type="dcterms:W3CDTF">2020-11-12T14:41:00Z</dcterms:created>
  <dcterms:modified xsi:type="dcterms:W3CDTF">2020-11-12T15:33:00Z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0x010100D664ADACBB2E0E43BE6AC5D5CF458654</vt:lpwstr>
  </property>
  <property fmtid="{D5CDD505-2E9C-101B-9397-08002B2CF9AE}" pid="3" name="Order">
    <vt:r8>1457000</vt:r8>
  </property>
</Properties>
</file>